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432" w:line="219" w:lineRule="auto"/>
        <w:ind w:left="232"/>
        <w:rPr>
          <w:rFonts w:ascii="宋体" w:hAnsi="宋体" w:eastAsia="宋体" w:cs="宋体"/>
          <w:sz w:val="133"/>
          <w:szCs w:val="133"/>
        </w:rPr>
      </w:pPr>
      <w:r>
        <w:rPr>
          <w:rFonts w:ascii="宋体" w:hAnsi="宋体" w:eastAsia="宋体" w:cs="宋体"/>
          <w:b/>
          <w:bCs/>
          <w:color w:val="EE1212"/>
          <w:spacing w:val="-85"/>
          <w:w w:val="71"/>
          <w:sz w:val="133"/>
          <w:szCs w:val="133"/>
        </w:rPr>
        <w:t>永城市医疗保障局文件</w:t>
      </w:r>
    </w:p>
    <w:p>
      <w:pPr>
        <w:spacing w:line="355" w:lineRule="auto"/>
        <w:rPr>
          <w:rFonts w:ascii="Arial"/>
          <w:sz w:val="21"/>
        </w:rPr>
      </w:pPr>
    </w:p>
    <w:p>
      <w:pPr>
        <w:spacing w:before="114" w:line="220" w:lineRule="auto"/>
        <w:ind w:left="325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color w:val="195477"/>
          <w:spacing w:val="-24"/>
          <w:sz w:val="35"/>
          <w:szCs w:val="35"/>
        </w:rPr>
        <w:t>永医保〔2021〕</w:t>
      </w:r>
      <w:r>
        <w:rPr>
          <w:rFonts w:ascii="Times New Roman" w:hAnsi="Times New Roman" w:eastAsia="Times New Roman" w:cs="Times New Roman"/>
          <w:spacing w:val="-24"/>
          <w:sz w:val="35"/>
          <w:szCs w:val="35"/>
        </w:rPr>
        <w:t>1</w:t>
      </w:r>
      <w:r>
        <w:rPr>
          <w:rFonts w:ascii="宋体" w:hAnsi="宋体" w:eastAsia="宋体" w:cs="宋体"/>
          <w:color w:val="195477"/>
          <w:spacing w:val="-24"/>
          <w:sz w:val="35"/>
          <w:szCs w:val="35"/>
        </w:rPr>
        <w:t>7号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5803900" cy="38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3922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3" w:line="219" w:lineRule="auto"/>
        <w:ind w:left="298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color w:val="335968"/>
          <w:spacing w:val="-46"/>
          <w:sz w:val="48"/>
          <w:szCs w:val="48"/>
        </w:rPr>
        <w:t>永城市医疗保障局</w:t>
      </w:r>
    </w:p>
    <w:p>
      <w:pPr>
        <w:spacing w:before="5" w:line="222" w:lineRule="auto"/>
        <w:ind w:left="2956" w:right="305" w:hanging="238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color w:val="135571"/>
          <w:spacing w:val="-51"/>
          <w:sz w:val="48"/>
          <w:szCs w:val="48"/>
        </w:rPr>
        <w:t>关于规范城乡居民基本医疗保险住院起付线</w:t>
      </w:r>
      <w:r>
        <w:rPr>
          <w:rFonts w:ascii="宋体" w:hAnsi="宋体" w:eastAsia="宋体" w:cs="宋体"/>
          <w:color w:val="135571"/>
          <w:spacing w:val="10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color w:val="135571"/>
          <w:spacing w:val="-44"/>
          <w:sz w:val="48"/>
          <w:szCs w:val="48"/>
        </w:rPr>
        <w:t>和报销比例的通知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13" w:line="221" w:lineRule="auto"/>
        <w:ind w:left="29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color w:val="1D5B7F"/>
          <w:spacing w:val="-34"/>
          <w:sz w:val="35"/>
          <w:szCs w:val="35"/>
        </w:rPr>
        <w:t>各定点医疗机构，城乡居民医保中心：</w:t>
      </w:r>
    </w:p>
    <w:p>
      <w:pPr>
        <w:spacing w:before="177" w:line="311" w:lineRule="auto"/>
        <w:ind w:left="290" w:right="95" w:firstLine="679"/>
        <w:jc w:val="both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color w:val="1B5A72"/>
          <w:spacing w:val="-41"/>
          <w:sz w:val="35"/>
          <w:szCs w:val="35"/>
        </w:rPr>
        <w:t>为进</w:t>
      </w:r>
      <w:r>
        <w:rPr>
          <w:rFonts w:ascii="仿宋" w:hAnsi="仿宋" w:eastAsia="仿宋" w:cs="仿宋"/>
          <w:spacing w:val="-41"/>
          <w:sz w:val="35"/>
          <w:szCs w:val="35"/>
        </w:rPr>
        <w:t>一</w:t>
      </w:r>
      <w:r>
        <w:rPr>
          <w:rFonts w:ascii="仿宋" w:hAnsi="仿宋" w:eastAsia="仿宋" w:cs="仿宋"/>
          <w:color w:val="1B5A72"/>
          <w:spacing w:val="-41"/>
          <w:sz w:val="35"/>
          <w:szCs w:val="35"/>
        </w:rPr>
        <w:t>步推动分级诊疗制度落实，规范城乡居民住院</w:t>
      </w:r>
      <w:r>
        <w:rPr>
          <w:rFonts w:ascii="仿宋" w:hAnsi="仿宋" w:eastAsia="仿宋" w:cs="仿宋"/>
          <w:color w:val="1B5A72"/>
          <w:spacing w:val="-42"/>
          <w:sz w:val="35"/>
          <w:szCs w:val="35"/>
        </w:rPr>
        <w:t>医疗待</w:t>
      </w:r>
      <w:r>
        <w:rPr>
          <w:rFonts w:ascii="仿宋" w:hAnsi="仿宋" w:eastAsia="仿宋" w:cs="仿宋"/>
          <w:color w:val="1B5A72"/>
          <w:sz w:val="35"/>
          <w:szCs w:val="35"/>
        </w:rPr>
        <w:t xml:space="preserve"> </w:t>
      </w:r>
      <w:r>
        <w:rPr>
          <w:rFonts w:ascii="仿宋" w:hAnsi="仿宋" w:eastAsia="仿宋" w:cs="仿宋"/>
          <w:color w:val="1B5A72"/>
          <w:spacing w:val="-38"/>
          <w:sz w:val="35"/>
          <w:szCs w:val="35"/>
        </w:rPr>
        <w:t>遇，引导病人合理就医，根据河南省人民政府办公厅《关于印发</w:t>
      </w:r>
      <w:r>
        <w:rPr>
          <w:rFonts w:ascii="仿宋" w:hAnsi="仿宋" w:eastAsia="仿宋" w:cs="仿宋"/>
          <w:color w:val="1B5A72"/>
          <w:spacing w:val="17"/>
          <w:sz w:val="35"/>
          <w:szCs w:val="35"/>
        </w:rPr>
        <w:t xml:space="preserve"> </w:t>
      </w:r>
      <w:r>
        <w:rPr>
          <w:rFonts w:ascii="仿宋" w:hAnsi="仿宋" w:eastAsia="仿宋" w:cs="仿宋"/>
          <w:color w:val="1B5A72"/>
          <w:spacing w:val="-20"/>
          <w:sz w:val="35"/>
          <w:szCs w:val="35"/>
        </w:rPr>
        <w:t>河南省城乡居民基本医疗保险实施办法(试行)的通知》(豫</w:t>
      </w:r>
      <w:r>
        <w:rPr>
          <w:rFonts w:ascii="仿宋" w:hAnsi="仿宋" w:eastAsia="仿宋" w:cs="仿宋"/>
          <w:color w:val="1B5A72"/>
          <w:spacing w:val="-21"/>
          <w:sz w:val="35"/>
          <w:szCs w:val="35"/>
        </w:rPr>
        <w:t>政</w:t>
      </w:r>
      <w:r>
        <w:rPr>
          <w:rFonts w:ascii="仿宋" w:hAnsi="仿宋" w:eastAsia="仿宋" w:cs="仿宋"/>
          <w:color w:val="1B5A72"/>
          <w:sz w:val="35"/>
          <w:szCs w:val="35"/>
        </w:rPr>
        <w:t xml:space="preserve"> </w:t>
      </w:r>
      <w:r>
        <w:rPr>
          <w:rFonts w:ascii="仿宋" w:hAnsi="仿宋" w:eastAsia="仿宋" w:cs="仿宋"/>
          <w:color w:val="1B5A72"/>
          <w:spacing w:val="-23"/>
          <w:sz w:val="35"/>
          <w:szCs w:val="35"/>
        </w:rPr>
        <w:t>办〔2016〕194号)和河南省人社厅、河南省财政厅、河南省卫</w:t>
      </w:r>
      <w:r>
        <w:rPr>
          <w:rFonts w:ascii="仿宋" w:hAnsi="仿宋" w:eastAsia="仿宋" w:cs="仿宋"/>
          <w:color w:val="1B5A72"/>
          <w:spacing w:val="14"/>
          <w:sz w:val="35"/>
          <w:szCs w:val="35"/>
        </w:rPr>
        <w:t xml:space="preserve"> </w:t>
      </w:r>
      <w:r>
        <w:rPr>
          <w:rFonts w:ascii="仿宋" w:hAnsi="仿宋" w:eastAsia="仿宋" w:cs="仿宋"/>
          <w:color w:val="1B5A72"/>
          <w:spacing w:val="-24"/>
          <w:sz w:val="35"/>
          <w:szCs w:val="35"/>
        </w:rPr>
        <w:t>健委、河南省税务局、河南省中医管理局《关于做好20</w:t>
      </w:r>
      <w:r>
        <w:rPr>
          <w:rFonts w:ascii="仿宋" w:hAnsi="仿宋" w:eastAsia="仿宋" w:cs="仿宋"/>
          <w:color w:val="1B5A72"/>
          <w:spacing w:val="-25"/>
          <w:sz w:val="35"/>
          <w:szCs w:val="35"/>
        </w:rPr>
        <w:t>18年城</w:t>
      </w:r>
      <w:r>
        <w:rPr>
          <w:rFonts w:ascii="仿宋" w:hAnsi="仿宋" w:eastAsia="仿宋" w:cs="仿宋"/>
          <w:color w:val="1B5A72"/>
          <w:sz w:val="35"/>
          <w:szCs w:val="35"/>
        </w:rPr>
        <w:t xml:space="preserve"> </w:t>
      </w:r>
      <w:r>
        <w:rPr>
          <w:rFonts w:ascii="仿宋" w:hAnsi="仿宋" w:eastAsia="仿宋" w:cs="仿宋"/>
          <w:color w:val="1B5A72"/>
          <w:spacing w:val="-21"/>
          <w:sz w:val="35"/>
          <w:szCs w:val="35"/>
        </w:rPr>
        <w:t>乡居民基本医疗保险工作的通知》</w:t>
      </w:r>
      <w:r>
        <w:rPr>
          <w:rFonts w:ascii="仿宋" w:hAnsi="仿宋" w:eastAsia="仿宋" w:cs="仿宋"/>
          <w:color w:val="1B5A72"/>
          <w:spacing w:val="105"/>
          <w:sz w:val="35"/>
          <w:szCs w:val="35"/>
        </w:rPr>
        <w:t xml:space="preserve"> </w:t>
      </w:r>
      <w:r>
        <w:rPr>
          <w:rFonts w:ascii="仿宋" w:hAnsi="仿宋" w:eastAsia="仿宋" w:cs="仿宋"/>
          <w:color w:val="1B5A72"/>
          <w:spacing w:val="-21"/>
          <w:sz w:val="35"/>
          <w:szCs w:val="35"/>
        </w:rPr>
        <w:t>(豫人社〔2018〕3</w:t>
      </w:r>
      <w:r>
        <w:rPr>
          <w:rFonts w:ascii="仿宋" w:hAnsi="仿宋" w:eastAsia="仿宋" w:cs="仿宋"/>
          <w:color w:val="1B5A72"/>
          <w:spacing w:val="-22"/>
          <w:sz w:val="35"/>
          <w:szCs w:val="35"/>
        </w:rPr>
        <w:t>6号)等</w:t>
      </w:r>
      <w:r>
        <w:rPr>
          <w:rFonts w:ascii="仿宋" w:hAnsi="仿宋" w:eastAsia="仿宋" w:cs="仿宋"/>
          <w:color w:val="1B5A72"/>
          <w:sz w:val="35"/>
          <w:szCs w:val="35"/>
        </w:rPr>
        <w:t xml:space="preserve"> </w:t>
      </w:r>
      <w:r>
        <w:rPr>
          <w:rFonts w:ascii="仿宋" w:hAnsi="仿宋" w:eastAsia="仿宋" w:cs="仿宋"/>
          <w:color w:val="1B5A72"/>
          <w:spacing w:val="-38"/>
          <w:sz w:val="35"/>
          <w:szCs w:val="35"/>
        </w:rPr>
        <w:t>文件精神，现将我市参保城乡居民住院起付标准和报销比例调整</w:t>
      </w:r>
    </w:p>
    <w:p>
      <w:pPr>
        <w:spacing w:before="1" w:line="222" w:lineRule="auto"/>
        <w:ind w:left="29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color w:val="1B5A72"/>
          <w:spacing w:val="-37"/>
          <w:sz w:val="35"/>
          <w:szCs w:val="35"/>
        </w:rPr>
        <w:t>如下：</w:t>
      </w:r>
    </w:p>
    <w:p>
      <w:pPr>
        <w:sectPr>
          <w:footerReference r:id="rId5" w:type="default"/>
          <w:pgSz w:w="11900" w:h="16840"/>
          <w:pgMar w:top="1431" w:right="1519" w:bottom="1420" w:left="1239" w:header="0" w:footer="1151" w:gutter="0"/>
          <w:cols w:space="720" w:num="1"/>
        </w:sectPr>
      </w:pPr>
    </w:p>
    <w:p/>
    <w:p>
      <w:pPr>
        <w:spacing w:line="152" w:lineRule="exact"/>
      </w:pPr>
    </w:p>
    <w:tbl>
      <w:tblPr>
        <w:tblStyle w:val="4"/>
        <w:tblW w:w="8130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2477"/>
        <w:gridCol w:w="1977"/>
        <w:gridCol w:w="2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14" w:type="dxa"/>
            <w:vAlign w:val="top"/>
          </w:tcPr>
          <w:p>
            <w:pPr>
              <w:spacing w:before="247" w:line="219" w:lineRule="auto"/>
              <w:ind w:left="1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类</w:t>
            </w:r>
            <w:r>
              <w:rPr>
                <w:rFonts w:ascii="宋体" w:hAnsi="宋体" w:eastAsia="宋体" w:cs="宋体"/>
                <w:spacing w:val="25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别</w:t>
            </w:r>
          </w:p>
        </w:tc>
        <w:tc>
          <w:tcPr>
            <w:tcW w:w="2477" w:type="dxa"/>
            <w:vAlign w:val="top"/>
          </w:tcPr>
          <w:p>
            <w:pPr>
              <w:spacing w:before="248" w:line="220" w:lineRule="auto"/>
              <w:ind w:left="6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医院范围</w:t>
            </w:r>
          </w:p>
        </w:tc>
        <w:tc>
          <w:tcPr>
            <w:tcW w:w="1977" w:type="dxa"/>
            <w:vAlign w:val="top"/>
          </w:tcPr>
          <w:p>
            <w:pPr>
              <w:spacing w:before="247" w:line="219" w:lineRule="auto"/>
              <w:ind w:left="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起付标准(元)</w:t>
            </w:r>
          </w:p>
        </w:tc>
        <w:tc>
          <w:tcPr>
            <w:tcW w:w="2462" w:type="dxa"/>
            <w:vAlign w:val="top"/>
          </w:tcPr>
          <w:p>
            <w:pPr>
              <w:spacing w:before="247" w:line="219" w:lineRule="auto"/>
              <w:ind w:left="5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5"/>
                <w:sz w:val="30"/>
                <w:szCs w:val="30"/>
              </w:rPr>
              <w:t>报销</w:t>
            </w:r>
            <w:r>
              <w:rPr>
                <w:rFonts w:ascii="宋体" w:hAnsi="宋体" w:eastAsia="宋体" w:cs="宋体"/>
                <w:spacing w:val="6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0"/>
                <w:szCs w:val="30"/>
              </w:rPr>
              <w:t>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21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98" w:line="221" w:lineRule="auto"/>
              <w:ind w:left="1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3"/>
                <w:sz w:val="30"/>
                <w:szCs w:val="30"/>
              </w:rPr>
              <w:t>乡</w:t>
            </w:r>
            <w:r>
              <w:rPr>
                <w:rFonts w:ascii="宋体" w:hAnsi="宋体" w:eastAsia="宋体" w:cs="宋体"/>
                <w:spacing w:val="30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30"/>
                <w:szCs w:val="30"/>
              </w:rPr>
              <w:t>级</w:t>
            </w:r>
          </w:p>
        </w:tc>
        <w:tc>
          <w:tcPr>
            <w:tcW w:w="2477" w:type="dxa"/>
            <w:vAlign w:val="top"/>
          </w:tcPr>
          <w:p>
            <w:pPr>
              <w:spacing w:before="193" w:line="219" w:lineRule="auto"/>
              <w:ind w:left="48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乡镇卫生院</w:t>
            </w:r>
          </w:p>
          <w:p>
            <w:pPr>
              <w:spacing w:before="242" w:line="219" w:lineRule="auto"/>
              <w:ind w:left="18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8"/>
                <w:sz w:val="30"/>
                <w:szCs w:val="30"/>
              </w:rPr>
              <w:t>(社区医疗机构)</w:t>
            </w:r>
          </w:p>
        </w:tc>
        <w:tc>
          <w:tcPr>
            <w:tcW w:w="1977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98" w:line="184" w:lineRule="auto"/>
              <w:ind w:left="75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8"/>
                <w:sz w:val="30"/>
                <w:szCs w:val="30"/>
              </w:rPr>
              <w:t>150</w:t>
            </w:r>
          </w:p>
        </w:tc>
        <w:tc>
          <w:tcPr>
            <w:tcW w:w="2462" w:type="dxa"/>
            <w:vAlign w:val="top"/>
          </w:tcPr>
          <w:p>
            <w:pPr>
              <w:spacing w:before="194" w:line="580" w:lineRule="exact"/>
              <w:ind w:left="32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position w:val="21"/>
                <w:sz w:val="30"/>
                <w:szCs w:val="30"/>
              </w:rPr>
              <w:t>150-800元70%</w:t>
            </w:r>
          </w:p>
          <w:p>
            <w:pPr>
              <w:spacing w:line="220" w:lineRule="auto"/>
              <w:ind w:left="32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>800元以上90%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21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98" w:line="221" w:lineRule="auto"/>
              <w:ind w:left="1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7"/>
                <w:sz w:val="30"/>
                <w:szCs w:val="30"/>
              </w:rPr>
              <w:t>县</w:t>
            </w:r>
            <w:r>
              <w:rPr>
                <w:rFonts w:ascii="宋体" w:hAnsi="宋体" w:eastAsia="宋体" w:cs="宋体"/>
                <w:spacing w:val="24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30"/>
                <w:szCs w:val="30"/>
              </w:rPr>
              <w:t>级</w:t>
            </w:r>
          </w:p>
        </w:tc>
        <w:tc>
          <w:tcPr>
            <w:tcW w:w="2477" w:type="dxa"/>
            <w:vAlign w:val="top"/>
          </w:tcPr>
          <w:p>
            <w:pPr>
              <w:spacing w:before="184" w:line="219" w:lineRule="auto"/>
              <w:ind w:left="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二级或相当规模以</w:t>
            </w:r>
          </w:p>
          <w:p>
            <w:pPr>
              <w:spacing w:before="234" w:line="219" w:lineRule="auto"/>
              <w:ind w:left="18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下(含二级)医院</w:t>
            </w:r>
          </w:p>
        </w:tc>
        <w:tc>
          <w:tcPr>
            <w:tcW w:w="1977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98" w:line="183" w:lineRule="auto"/>
              <w:ind w:left="75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</w:rPr>
              <w:t>400</w:t>
            </w:r>
          </w:p>
        </w:tc>
        <w:tc>
          <w:tcPr>
            <w:tcW w:w="2462" w:type="dxa"/>
            <w:vAlign w:val="top"/>
          </w:tcPr>
          <w:p>
            <w:pPr>
              <w:spacing w:before="185" w:line="590" w:lineRule="exact"/>
              <w:ind w:left="2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position w:val="22"/>
                <w:sz w:val="30"/>
                <w:szCs w:val="30"/>
              </w:rPr>
              <w:t>400-1500元63%</w:t>
            </w:r>
          </w:p>
          <w:p>
            <w:pPr>
              <w:spacing w:line="220" w:lineRule="auto"/>
              <w:ind w:left="2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1500元以上83%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2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101" w:line="216" w:lineRule="auto"/>
              <w:ind w:left="38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市</w:t>
            </w:r>
            <w:r>
              <w:rPr>
                <w:rFonts w:ascii="宋体" w:hAnsi="宋体" w:eastAsia="宋体" w:cs="宋体"/>
                <w:spacing w:val="29"/>
                <w:sz w:val="30"/>
                <w:szCs w:val="30"/>
              </w:rPr>
              <w:t xml:space="preserve">     </w:t>
            </w:r>
            <w:r>
              <w:rPr>
                <w:rFonts w:ascii="宋体" w:hAnsi="宋体" w:eastAsia="宋体" w:cs="宋体"/>
                <w:sz w:val="30"/>
                <w:szCs w:val="30"/>
              </w:rPr>
              <w:t>级</w:t>
            </w:r>
          </w:p>
        </w:tc>
        <w:tc>
          <w:tcPr>
            <w:tcW w:w="2477" w:type="dxa"/>
            <w:vAlign w:val="top"/>
          </w:tcPr>
          <w:p>
            <w:pPr>
              <w:spacing w:before="195" w:line="219" w:lineRule="auto"/>
              <w:ind w:left="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二级或相当规模以</w:t>
            </w:r>
          </w:p>
          <w:p>
            <w:pPr>
              <w:spacing w:before="244" w:line="219" w:lineRule="auto"/>
              <w:ind w:left="18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下(含二级)医院</w:t>
            </w:r>
          </w:p>
        </w:tc>
        <w:tc>
          <w:tcPr>
            <w:tcW w:w="197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98" w:line="183" w:lineRule="auto"/>
              <w:ind w:left="75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500</w:t>
            </w:r>
          </w:p>
        </w:tc>
        <w:tc>
          <w:tcPr>
            <w:tcW w:w="2462" w:type="dxa"/>
            <w:vAlign w:val="top"/>
          </w:tcPr>
          <w:p>
            <w:pPr>
              <w:spacing w:before="196" w:line="590" w:lineRule="exact"/>
              <w:ind w:left="2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position w:val="22"/>
                <w:sz w:val="30"/>
                <w:szCs w:val="30"/>
              </w:rPr>
              <w:t>500-3000元55%</w:t>
            </w:r>
          </w:p>
          <w:p>
            <w:pPr>
              <w:spacing w:line="220" w:lineRule="auto"/>
              <w:ind w:left="2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3000元以上75%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2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98" w:line="220" w:lineRule="auto"/>
              <w:ind w:left="6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三级医院</w:t>
            </w:r>
          </w:p>
        </w:tc>
        <w:tc>
          <w:tcPr>
            <w:tcW w:w="1977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98" w:line="184" w:lineRule="auto"/>
              <w:ind w:left="6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7"/>
                <w:sz w:val="30"/>
                <w:szCs w:val="30"/>
              </w:rPr>
              <w:t>1200</w:t>
            </w:r>
          </w:p>
        </w:tc>
        <w:tc>
          <w:tcPr>
            <w:tcW w:w="2462" w:type="dxa"/>
            <w:vAlign w:val="top"/>
          </w:tcPr>
          <w:p>
            <w:pPr>
              <w:spacing w:before="198" w:line="570" w:lineRule="exact"/>
              <w:ind w:left="17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position w:val="20"/>
                <w:sz w:val="30"/>
                <w:szCs w:val="30"/>
              </w:rPr>
              <w:t>1200-4000元53%</w:t>
            </w:r>
          </w:p>
          <w:p>
            <w:pPr>
              <w:spacing w:line="220" w:lineRule="auto"/>
              <w:ind w:left="2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4000元以上72%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2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101" w:line="216" w:lineRule="auto"/>
              <w:ind w:left="38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省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 xml:space="preserve">      </w:t>
            </w:r>
            <w:r>
              <w:rPr>
                <w:rFonts w:ascii="宋体" w:hAnsi="宋体" w:eastAsia="宋体" w:cs="宋体"/>
                <w:sz w:val="30"/>
                <w:szCs w:val="30"/>
              </w:rPr>
              <w:t>级</w:t>
            </w:r>
          </w:p>
        </w:tc>
        <w:tc>
          <w:tcPr>
            <w:tcW w:w="2477" w:type="dxa"/>
            <w:vAlign w:val="top"/>
          </w:tcPr>
          <w:p>
            <w:pPr>
              <w:spacing w:before="178" w:line="219" w:lineRule="auto"/>
              <w:ind w:left="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二级或相当规模以</w:t>
            </w:r>
          </w:p>
          <w:p>
            <w:pPr>
              <w:spacing w:before="264" w:line="219" w:lineRule="auto"/>
              <w:ind w:left="18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下(含二级)医院</w:t>
            </w:r>
          </w:p>
        </w:tc>
        <w:tc>
          <w:tcPr>
            <w:tcW w:w="1977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98" w:line="183" w:lineRule="auto"/>
              <w:ind w:left="75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600</w:t>
            </w:r>
          </w:p>
        </w:tc>
        <w:tc>
          <w:tcPr>
            <w:tcW w:w="2462" w:type="dxa"/>
            <w:vAlign w:val="top"/>
          </w:tcPr>
          <w:p>
            <w:pPr>
              <w:spacing w:before="199" w:line="600" w:lineRule="exact"/>
              <w:ind w:left="2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position w:val="23"/>
                <w:sz w:val="30"/>
                <w:szCs w:val="30"/>
              </w:rPr>
              <w:t>600-4000元53%</w:t>
            </w:r>
          </w:p>
          <w:p>
            <w:pPr>
              <w:spacing w:line="220" w:lineRule="auto"/>
              <w:ind w:left="2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4000元以上72%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2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98" w:line="220" w:lineRule="auto"/>
              <w:ind w:left="6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4"/>
                <w:sz w:val="30"/>
                <w:szCs w:val="30"/>
              </w:rPr>
              <w:t>三级医院</w:t>
            </w:r>
          </w:p>
        </w:tc>
        <w:tc>
          <w:tcPr>
            <w:tcW w:w="1977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98" w:line="183" w:lineRule="auto"/>
              <w:ind w:left="6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</w:rPr>
              <w:t>2000</w:t>
            </w:r>
          </w:p>
        </w:tc>
        <w:tc>
          <w:tcPr>
            <w:tcW w:w="2462" w:type="dxa"/>
            <w:vAlign w:val="top"/>
          </w:tcPr>
          <w:p>
            <w:pPr>
              <w:spacing w:before="191" w:line="610" w:lineRule="exact"/>
              <w:ind w:left="17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position w:val="24"/>
                <w:sz w:val="30"/>
                <w:szCs w:val="30"/>
              </w:rPr>
              <w:t>2000-7000元50%</w:t>
            </w:r>
          </w:p>
          <w:p>
            <w:pPr>
              <w:spacing w:line="220" w:lineRule="auto"/>
              <w:ind w:left="2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7000元以上68%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1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left="29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省外</w:t>
            </w:r>
          </w:p>
        </w:tc>
        <w:tc>
          <w:tcPr>
            <w:tcW w:w="2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98" w:line="183" w:lineRule="auto"/>
              <w:ind w:left="6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</w:rPr>
              <w:t>2000</w:t>
            </w:r>
          </w:p>
        </w:tc>
        <w:tc>
          <w:tcPr>
            <w:tcW w:w="2462" w:type="dxa"/>
            <w:vAlign w:val="top"/>
          </w:tcPr>
          <w:p>
            <w:pPr>
              <w:spacing w:before="212" w:line="560" w:lineRule="exact"/>
              <w:ind w:left="17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position w:val="20"/>
                <w:sz w:val="30"/>
                <w:szCs w:val="30"/>
              </w:rPr>
              <w:t>2000-7000元50%</w:t>
            </w:r>
          </w:p>
          <w:p>
            <w:pPr>
              <w:spacing w:line="220" w:lineRule="auto"/>
              <w:ind w:left="24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7000元以上68%</w:t>
            </w:r>
          </w:p>
        </w:tc>
      </w:tr>
    </w:tbl>
    <w:p>
      <w:pPr>
        <w:spacing w:before="223" w:line="357" w:lineRule="auto"/>
        <w:ind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14周岁以下(含14周岁)参保居民起付标准减半，其他参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保居民年度内在县级以上(含县级)定点医疗机构第二次住院起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付标准减半。参加城乡居民基本医疗保险80岁以上(含80岁)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老人住院医疗费用报销比例在基本医疗保险现行政策基础上提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高5个百分点。</w:t>
      </w:r>
    </w:p>
    <w:p>
      <w:pPr>
        <w:sectPr>
          <w:footerReference r:id="rId6" w:type="default"/>
          <w:pgSz w:w="11900" w:h="16840"/>
          <w:pgMar w:top="1431" w:right="1610" w:bottom="1367" w:left="1519" w:header="0" w:footer="106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1" w:line="352" w:lineRule="auto"/>
        <w:ind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226689"/>
          <w:spacing w:val="-1"/>
          <w:sz w:val="31"/>
          <w:szCs w:val="31"/>
        </w:rPr>
        <w:t>参保居民在县级及以上中医医院住院的，其住院报销起付标</w:t>
      </w:r>
      <w:r>
        <w:rPr>
          <w:rFonts w:ascii="仿宋" w:hAnsi="仿宋" w:eastAsia="仿宋" w:cs="仿宋"/>
          <w:color w:val="226689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26689"/>
          <w:spacing w:val="4"/>
          <w:sz w:val="31"/>
          <w:szCs w:val="31"/>
        </w:rPr>
        <w:t>准在同级医疗机构规定标准基础上降低100元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  <w:r>
        <w:rPr>
          <w:rFonts w:ascii="仿宋" w:hAnsi="仿宋" w:eastAsia="仿宋" w:cs="仿宋"/>
          <w:color w:val="226689"/>
          <w:spacing w:val="4"/>
          <w:sz w:val="31"/>
          <w:szCs w:val="31"/>
        </w:rPr>
        <w:t>参保居民使用中</w:t>
      </w:r>
      <w:r>
        <w:rPr>
          <w:rFonts w:ascii="仿宋" w:hAnsi="仿宋" w:eastAsia="仿宋" w:cs="仿宋"/>
          <w:color w:val="226689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26689"/>
          <w:spacing w:val="11"/>
          <w:sz w:val="31"/>
          <w:szCs w:val="31"/>
        </w:rPr>
        <w:t>医药服务的住院医疗费用，报销比例提高5%。中医药服务项目</w:t>
      </w:r>
      <w:r>
        <w:rPr>
          <w:rFonts w:ascii="仿宋" w:hAnsi="仿宋" w:eastAsia="仿宋" w:cs="仿宋"/>
          <w:color w:val="226689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226689"/>
          <w:spacing w:val="1"/>
          <w:sz w:val="31"/>
          <w:szCs w:val="31"/>
        </w:rPr>
        <w:t>指纳入基本医疗保险报销范围的中药饮片、中成药、中药制剂和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226689"/>
          <w:spacing w:val="-7"/>
          <w:sz w:val="31"/>
          <w:szCs w:val="31"/>
        </w:rPr>
        <w:t>中医诊疗项目。</w:t>
      </w:r>
    </w:p>
    <w:p>
      <w:pPr>
        <w:spacing w:before="263" w:line="221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1D5C81"/>
          <w:spacing w:val="30"/>
          <w:sz w:val="31"/>
          <w:szCs w:val="31"/>
        </w:rPr>
        <w:t>本通知自2022年1月1日施行。</w:t>
      </w:r>
    </w:p>
    <w:p>
      <w:pPr>
        <w:spacing w:before="242" w:line="222" w:lineRule="auto"/>
        <w:ind w:left="7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1F5B83"/>
          <w:spacing w:val="19"/>
          <w:sz w:val="31"/>
          <w:szCs w:val="31"/>
        </w:rPr>
        <w:t>(抄送市财政局)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2" w:lineRule="auto"/>
        <w:ind w:left="5389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3473450</wp:posOffset>
            </wp:positionH>
            <wp:positionV relativeFrom="paragraph">
              <wp:posOffset>-818515</wp:posOffset>
            </wp:positionV>
            <wp:extent cx="1549400" cy="15748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49384" cy="1574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35"/>
          <w:sz w:val="31"/>
          <w:szCs w:val="31"/>
        </w:rPr>
        <w:t>2021年12月28日</w:t>
      </w:r>
    </w:p>
    <w:p>
      <w:pPr>
        <w:sectPr>
          <w:footerReference r:id="rId7" w:type="default"/>
          <w:pgSz w:w="11900" w:h="16840"/>
          <w:pgMar w:top="1431" w:right="1606" w:bottom="1362" w:left="1579" w:header="0" w:footer="1177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8" w:type="default"/>
      <w:footerReference r:id="rId9" w:type="default"/>
      <w:pgSz w:w="1190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2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3"/>
        <w:sz w:val="27"/>
        <w:szCs w:val="27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144"/>
      <w:jc w:val="right"/>
      <w:rPr>
        <w:rFonts w:ascii="Times New Roman" w:hAnsi="Times New Roman" w:eastAsia="Times New Roman" w:cs="Times New Roman"/>
        <w:sz w:val="19"/>
        <w:szCs w:val="19"/>
      </w:rPr>
    </w:pPr>
    <w:r>
      <w:rPr>
        <w:rFonts w:ascii="宋体" w:hAnsi="宋体" w:eastAsia="宋体" w:cs="宋体"/>
        <w:spacing w:val="-4"/>
        <w:sz w:val="19"/>
        <w:szCs w:val="19"/>
      </w:rPr>
      <w:t>—</w:t>
    </w:r>
    <w:r>
      <w:rPr>
        <w:rFonts w:ascii="宋体" w:hAnsi="宋体" w:eastAsia="宋体" w:cs="宋体"/>
        <w:spacing w:val="-20"/>
        <w:sz w:val="19"/>
        <w:szCs w:val="19"/>
      </w:rPr>
      <w:t xml:space="preserve"> </w:t>
    </w:r>
    <w:r>
      <w:rPr>
        <w:rFonts w:ascii="Times New Roman" w:hAnsi="Times New Roman" w:eastAsia="Times New Roman" w:cs="Times New Roman"/>
        <w:color w:val="1A5A72"/>
        <w:spacing w:val="-4"/>
        <w:sz w:val="19"/>
        <w:szCs w:val="19"/>
      </w:rPr>
      <w:t>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D27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676</Words>
  <Characters>823</Characters>
  <TotalTime>0</TotalTime>
  <ScaleCrop>false</ScaleCrop>
  <LinksUpToDate>false</LinksUpToDate>
  <CharactersWithSpaces>855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2023-06-14T15:49:00Z</dcterms:created>
  <dc:creator>Kingsoft-PDF</dc:creator>
  <cp:lastModifiedBy>12</cp:lastModifiedBy>
  <dcterms:modified xsi:type="dcterms:W3CDTF">2023-06-16T01:01:32Z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2023-06-14T15:49:33Z</vt:filetime>
  </property>
  <property fmtid="{D5CDD505-2E9C-101B-9397-08002B2CF9AE}" pid="4" name="UsrData">
    <vt:lpwstr>648971072d7008001f150855wl</vt:lpwstr>
  </property>
  <property fmtid="{D5CDD505-2E9C-101B-9397-08002B2CF9AE}" pid="5" name="KSOProductBuildVer">
    <vt:lpwstr>2052-11.1.0.14309</vt:lpwstr>
  </property>
  <property fmtid="{D5CDD505-2E9C-101B-9397-08002B2CF9AE}" pid="6" name="ICV">
    <vt:lpwstr>38AAC6663A09430B8A87368ABC64F311_13</vt:lpwstr>
  </property>
</Properties>
</file>